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D23D" w14:textId="66BB128B" w:rsidR="00680F46" w:rsidRDefault="6C3E1E47" w:rsidP="0D96322D">
      <w:pPr>
        <w:keepNext/>
        <w:spacing w:after="0" w:line="257" w:lineRule="auto"/>
      </w:pPr>
      <w:r>
        <w:rPr>
          <w:noProof/>
        </w:rPr>
        <w:drawing>
          <wp:inline distT="0" distB="0" distL="0" distR="0" wp14:anchorId="4A0F32EE" wp14:editId="0C4C2D8E">
            <wp:extent cx="1447800" cy="666750"/>
            <wp:effectExtent l="0" t="0" r="0" b="0"/>
            <wp:docPr id="2066003621" name="drawing" title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003621" name="Picture 206600362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4BC8B" w14:textId="0583BE38" w:rsidR="00680F46" w:rsidRDefault="00680F46" w:rsidP="0D96322D">
      <w:pPr>
        <w:keepNext/>
        <w:spacing w:after="0" w:line="257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4EBF3A92" w14:textId="5E500D18" w:rsidR="00680F46" w:rsidRDefault="6C3E1E47" w:rsidP="0D96322D">
      <w:pPr>
        <w:keepNext/>
        <w:spacing w:after="0" w:line="257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D96322D">
        <w:rPr>
          <w:rFonts w:ascii="Calibri" w:eastAsia="Calibri" w:hAnsi="Calibri" w:cs="Calibri"/>
          <w:b/>
          <w:bCs/>
          <w:color w:val="000000" w:themeColor="text1"/>
        </w:rPr>
        <w:t>Complaints Handling Performance 2025/2026</w:t>
      </w:r>
    </w:p>
    <w:p w14:paraId="4FBF22EC" w14:textId="77777777" w:rsidR="0054233A" w:rsidRDefault="0054233A" w:rsidP="005423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5B7B0D8A" w14:textId="66546BF9" w:rsidR="0054233A" w:rsidRDefault="0054233A" w:rsidP="005423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WFHA Complaints Performance and Action Statement 2025-2026 </w:t>
      </w:r>
      <w:r>
        <w:rPr>
          <w:rStyle w:val="eop"/>
          <w:rFonts w:ascii="Calibri" w:hAnsi="Calibri" w:cs="Calibri"/>
        </w:rPr>
        <w:t> </w:t>
      </w:r>
    </w:p>
    <w:p w14:paraId="1AC35F3F" w14:textId="77777777" w:rsidR="0054233A" w:rsidRDefault="0054233A" w:rsidP="005423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What follows is a statement about the performance of WFHA on complaints over the past year. The organisation is required to complete and publish this annually in addition to the self-assessment against the Ombudsman’s Complaints Handling Code. </w:t>
      </w:r>
      <w:r>
        <w:rPr>
          <w:rStyle w:val="eop"/>
          <w:rFonts w:ascii="Calibri" w:hAnsi="Calibri" w:cs="Calibri"/>
        </w:rPr>
        <w:t> </w:t>
      </w:r>
    </w:p>
    <w:p w14:paraId="5429ADE1" w14:textId="77777777" w:rsidR="0054233A" w:rsidRDefault="0054233A" w:rsidP="005423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E008134" w14:textId="77777777" w:rsidR="0054233A" w:rsidRDefault="0054233A" w:rsidP="005423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It is also a requirement that Members formally respond to the statement and that this response is published. </w:t>
      </w:r>
      <w:r>
        <w:rPr>
          <w:rStyle w:val="eop"/>
          <w:rFonts w:ascii="Calibri" w:hAnsi="Calibri" w:cs="Calibri"/>
        </w:rPr>
        <w:t> </w:t>
      </w:r>
    </w:p>
    <w:p w14:paraId="54699A61" w14:textId="77777777" w:rsidR="0054233A" w:rsidRDefault="0054233A" w:rsidP="005423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2546A0E" w14:textId="77777777" w:rsidR="0054233A" w:rsidRDefault="0054233A" w:rsidP="0054233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This statement has been approved by the MRC and the Board. </w:t>
      </w:r>
      <w:r>
        <w:rPr>
          <w:rStyle w:val="eop"/>
          <w:rFonts w:ascii="Calibri" w:hAnsi="Calibri" w:cs="Calibri"/>
        </w:rPr>
        <w:t> </w:t>
      </w:r>
    </w:p>
    <w:p w14:paraId="50AB6AD8" w14:textId="528A298F" w:rsidR="00680F46" w:rsidRDefault="00680F46" w:rsidP="0D96322D">
      <w:pPr>
        <w:keepNext/>
        <w:spacing w:after="0" w:line="257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22C76173" w14:textId="07B9B8F8" w:rsidR="00680F46" w:rsidRDefault="6C3E1E47" w:rsidP="0D96322D">
      <w:pPr>
        <w:keepNext/>
        <w:spacing w:after="0" w:line="257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b/>
          <w:bCs/>
          <w:color w:val="000000" w:themeColor="text1"/>
        </w:rPr>
        <w:t xml:space="preserve">Statement </w:t>
      </w:r>
    </w:p>
    <w:p w14:paraId="534820F0" w14:textId="5D4C9526" w:rsidR="00680F46" w:rsidRDefault="6C3E1E47" w:rsidP="0D96322D">
      <w:pPr>
        <w:keepNext/>
        <w:spacing w:after="0" w:line="257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b/>
          <w:bCs/>
          <w:color w:val="000000" w:themeColor="text1"/>
        </w:rPr>
        <w:t xml:space="preserve">Background </w:t>
      </w:r>
    </w:p>
    <w:p w14:paraId="73F6D670" w14:textId="7A92AA2E" w:rsidR="00680F46" w:rsidRDefault="6C3E1E47" w:rsidP="0054233A">
      <w:pPr>
        <w:spacing w:line="256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color w:val="000000" w:themeColor="text1"/>
        </w:rPr>
        <w:t>WFHA continues to comply with the Housing Ombudsman’s Complaints Handling Code, completing an annual self-assessment and publishing this statement for transparency and learning.</w:t>
      </w:r>
    </w:p>
    <w:p w14:paraId="627BC246" w14:textId="55892065" w:rsidR="00680F46" w:rsidRDefault="6C3E1E47" w:rsidP="0D96322D">
      <w:pPr>
        <w:keepNext/>
        <w:spacing w:after="0" w:line="257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b/>
          <w:bCs/>
          <w:color w:val="000000" w:themeColor="text1"/>
        </w:rPr>
        <w:t xml:space="preserve">Complaints Review </w:t>
      </w:r>
    </w:p>
    <w:p w14:paraId="57800BAD" w14:textId="60A9DD1E" w:rsidR="00680F46" w:rsidRDefault="6C3E1E47" w:rsidP="0054233A">
      <w:pPr>
        <w:spacing w:line="256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color w:val="000000" w:themeColor="text1"/>
        </w:rPr>
        <w:t xml:space="preserve">In the financial year 2025/26, WFHA received 24 complaints and 1 councillor enquiry. No MP enquiries were </w:t>
      </w:r>
      <w:proofErr w:type="gramStart"/>
      <w:r w:rsidRPr="0D96322D">
        <w:rPr>
          <w:rFonts w:ascii="Calibri" w:eastAsia="Calibri" w:hAnsi="Calibri" w:cs="Calibri"/>
          <w:color w:val="000000" w:themeColor="text1"/>
        </w:rPr>
        <w:t>received</w:t>
      </w:r>
      <w:proofErr w:type="gramEnd"/>
      <w:r w:rsidRPr="0D96322D">
        <w:rPr>
          <w:rFonts w:ascii="Calibri" w:eastAsia="Calibri" w:hAnsi="Calibri" w:cs="Calibri"/>
          <w:color w:val="000000" w:themeColor="text1"/>
        </w:rPr>
        <w:t xml:space="preserve"> and no service requests were recorded as complaints.</w:t>
      </w:r>
    </w:p>
    <w:p w14:paraId="410385CC" w14:textId="6090A291" w:rsidR="00680F46" w:rsidRDefault="6C3E1E47" w:rsidP="0D96322D">
      <w:pPr>
        <w:spacing w:line="256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color w:val="000000" w:themeColor="text1"/>
        </w:rPr>
        <w:t>Stage outcomes and learning from complaints were as follows:</w:t>
      </w:r>
    </w:p>
    <w:p w14:paraId="2977A056" w14:textId="474E6AEF" w:rsidR="00680F46" w:rsidRDefault="6C3E1E47" w:rsidP="0D96322D">
      <w:pPr>
        <w:pStyle w:val="ListParagraph"/>
        <w:numPr>
          <w:ilvl w:val="0"/>
          <w:numId w:val="2"/>
        </w:numPr>
        <w:spacing w:line="256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b/>
          <w:bCs/>
          <w:color w:val="000000" w:themeColor="text1"/>
        </w:rPr>
        <w:t>Stage 1:</w:t>
      </w:r>
      <w:r w:rsidRPr="0D96322D">
        <w:rPr>
          <w:rFonts w:ascii="Calibri" w:eastAsia="Calibri" w:hAnsi="Calibri" w:cs="Calibri"/>
          <w:color w:val="000000" w:themeColor="text1"/>
        </w:rPr>
        <w:t xml:space="preserve"> </w:t>
      </w:r>
      <w:proofErr w:type="gramStart"/>
      <w:r w:rsidRPr="0D96322D">
        <w:rPr>
          <w:rFonts w:ascii="Calibri" w:eastAsia="Calibri" w:hAnsi="Calibri" w:cs="Calibri"/>
          <w:color w:val="000000" w:themeColor="text1"/>
        </w:rPr>
        <w:t>The majority of</w:t>
      </w:r>
      <w:proofErr w:type="gramEnd"/>
      <w:r w:rsidRPr="0D96322D">
        <w:rPr>
          <w:rFonts w:ascii="Calibri" w:eastAsia="Calibri" w:hAnsi="Calibri" w:cs="Calibri"/>
          <w:color w:val="000000" w:themeColor="text1"/>
        </w:rPr>
        <w:t xml:space="preserve"> complaints were resolved at Stage 1, with in-time responses from Heads of Service.</w:t>
      </w:r>
    </w:p>
    <w:p w14:paraId="2F9EC2F2" w14:textId="110B62AA" w:rsidR="00680F46" w:rsidRDefault="6C3E1E47" w:rsidP="0D96322D">
      <w:pPr>
        <w:pStyle w:val="ListParagraph"/>
        <w:numPr>
          <w:ilvl w:val="0"/>
          <w:numId w:val="2"/>
        </w:numPr>
        <w:spacing w:line="256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b/>
          <w:bCs/>
          <w:color w:val="000000" w:themeColor="text1"/>
        </w:rPr>
        <w:t>Stage 2:</w:t>
      </w:r>
      <w:r w:rsidRPr="0D96322D">
        <w:rPr>
          <w:rFonts w:ascii="Calibri" w:eastAsia="Calibri" w:hAnsi="Calibri" w:cs="Calibri"/>
          <w:color w:val="000000" w:themeColor="text1"/>
        </w:rPr>
        <w:t xml:space="preserve"> Two complaints were escalated to Stage 2. Responses provided by the Director of Housing were within the timescale and were satisfactory to the tenants making those complaints.</w:t>
      </w:r>
    </w:p>
    <w:p w14:paraId="57192F62" w14:textId="12467256" w:rsidR="00680F46" w:rsidRPr="0054233A" w:rsidRDefault="6C3E1E47" w:rsidP="0054233A">
      <w:pPr>
        <w:pStyle w:val="ListParagraph"/>
        <w:numPr>
          <w:ilvl w:val="0"/>
          <w:numId w:val="2"/>
        </w:numPr>
        <w:spacing w:line="256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b/>
          <w:bCs/>
          <w:color w:val="000000" w:themeColor="text1"/>
        </w:rPr>
        <w:t>Compensation/Goodwill:</w:t>
      </w:r>
      <w:r w:rsidRPr="0D96322D">
        <w:rPr>
          <w:rFonts w:ascii="Calibri" w:eastAsia="Calibri" w:hAnsi="Calibri" w:cs="Calibri"/>
          <w:color w:val="000000" w:themeColor="text1"/>
        </w:rPr>
        <w:t xml:space="preserve"> Compensation and goodwill gestures were offered in three cases of service failure, including gas contractor failures and damage to personal items.</w:t>
      </w:r>
    </w:p>
    <w:p w14:paraId="30B74710" w14:textId="55D039C0" w:rsidR="00680F46" w:rsidRDefault="6C3E1E47" w:rsidP="0D96322D">
      <w:pPr>
        <w:keepNext/>
        <w:spacing w:line="257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b/>
          <w:bCs/>
          <w:color w:val="000000" w:themeColor="text1"/>
        </w:rPr>
        <w:t>Trends</w:t>
      </w:r>
    </w:p>
    <w:p w14:paraId="6EB92C3F" w14:textId="73A6BF5C" w:rsidR="00680F46" w:rsidRDefault="6C3E1E47" w:rsidP="0D96322D">
      <w:pPr>
        <w:spacing w:line="256" w:lineRule="auto"/>
        <w:rPr>
          <w:rFonts w:ascii="Calibri" w:eastAsia="Calibri" w:hAnsi="Calibri" w:cs="Calibri"/>
          <w:color w:val="000000" w:themeColor="text1"/>
        </w:rPr>
      </w:pPr>
      <w:proofErr w:type="gramStart"/>
      <w:r w:rsidRPr="0D96322D">
        <w:rPr>
          <w:rFonts w:ascii="Calibri" w:eastAsia="Calibri" w:hAnsi="Calibri" w:cs="Calibri"/>
          <w:color w:val="000000" w:themeColor="text1"/>
        </w:rPr>
        <w:t>Complaints</w:t>
      </w:r>
      <w:proofErr w:type="gramEnd"/>
      <w:r w:rsidRPr="0D96322D">
        <w:rPr>
          <w:rFonts w:ascii="Calibri" w:eastAsia="Calibri" w:hAnsi="Calibri" w:cs="Calibri"/>
          <w:color w:val="000000" w:themeColor="text1"/>
        </w:rPr>
        <w:t xml:space="preserve"> themes in 2025/26 highlighted the following areas for service improvement.</w:t>
      </w:r>
    </w:p>
    <w:p w14:paraId="71541264" w14:textId="22949FB7" w:rsidR="00680F46" w:rsidRDefault="6C3E1E47" w:rsidP="0D96322D">
      <w:pPr>
        <w:pStyle w:val="ListParagraph"/>
        <w:numPr>
          <w:ilvl w:val="0"/>
          <w:numId w:val="1"/>
        </w:numPr>
        <w:spacing w:line="256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b/>
          <w:bCs/>
          <w:color w:val="000000" w:themeColor="text1"/>
        </w:rPr>
        <w:t>Contractor issues:</w:t>
      </w:r>
      <w:r w:rsidRPr="0D96322D">
        <w:rPr>
          <w:rFonts w:ascii="Calibri" w:eastAsia="Calibri" w:hAnsi="Calibri" w:cs="Calibri"/>
          <w:color w:val="000000" w:themeColor="text1"/>
        </w:rPr>
        <w:t xml:space="preserve"> Continued concerns with contractor performance, particularly missed appointments and communication failures.</w:t>
      </w:r>
    </w:p>
    <w:p w14:paraId="13528CA1" w14:textId="5670435E" w:rsidR="00680F46" w:rsidRDefault="6C3E1E47" w:rsidP="0D96322D">
      <w:pPr>
        <w:pStyle w:val="ListParagraph"/>
        <w:numPr>
          <w:ilvl w:val="0"/>
          <w:numId w:val="1"/>
        </w:numPr>
        <w:spacing w:line="256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b/>
          <w:bCs/>
          <w:color w:val="000000" w:themeColor="text1"/>
        </w:rPr>
        <w:t>ASB:</w:t>
      </w:r>
      <w:r w:rsidRPr="0D96322D">
        <w:rPr>
          <w:rFonts w:ascii="Calibri" w:eastAsia="Calibri" w:hAnsi="Calibri" w:cs="Calibri"/>
          <w:color w:val="000000" w:themeColor="text1"/>
        </w:rPr>
        <w:t xml:space="preserve"> some complaints related to anti-social behaviour, noise, and neighbour disputes although these were unrelated to each other.</w:t>
      </w:r>
    </w:p>
    <w:p w14:paraId="318DA280" w14:textId="1AAC071E" w:rsidR="00680F46" w:rsidRDefault="6C3E1E47" w:rsidP="0D96322D">
      <w:pPr>
        <w:pStyle w:val="ListParagraph"/>
        <w:numPr>
          <w:ilvl w:val="0"/>
          <w:numId w:val="1"/>
        </w:numPr>
        <w:spacing w:line="256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b/>
          <w:bCs/>
          <w:color w:val="000000" w:themeColor="text1"/>
        </w:rPr>
        <w:t>Service delivery:</w:t>
      </w:r>
      <w:r w:rsidRPr="0D96322D">
        <w:rPr>
          <w:rFonts w:ascii="Calibri" w:eastAsia="Calibri" w:hAnsi="Calibri" w:cs="Calibri"/>
          <w:color w:val="000000" w:themeColor="text1"/>
        </w:rPr>
        <w:t xml:space="preserve"> Delays in communication and disputes over service charges.</w:t>
      </w:r>
    </w:p>
    <w:p w14:paraId="248B3B74" w14:textId="478EF392" w:rsidR="00680F46" w:rsidRDefault="6C3E1E47" w:rsidP="0D96322D">
      <w:pPr>
        <w:keepNext/>
        <w:spacing w:line="257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i/>
          <w:iCs/>
          <w:color w:val="000000" w:themeColor="text1"/>
        </w:rPr>
        <w:lastRenderedPageBreak/>
        <w:t>Gender</w:t>
      </w:r>
    </w:p>
    <w:p w14:paraId="3F49E69F" w14:textId="70A41E7E" w:rsidR="00680F46" w:rsidRDefault="6C3E1E47" w:rsidP="0D96322D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color w:val="000000" w:themeColor="text1"/>
        </w:rPr>
        <w:t>Complaints were received from both male and female tenants.</w:t>
      </w:r>
    </w:p>
    <w:p w14:paraId="45AA158C" w14:textId="21323642" w:rsidR="00680F46" w:rsidRDefault="6C3E1E47" w:rsidP="005409FD">
      <w:pPr>
        <w:keepNext/>
        <w:spacing w:line="257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i/>
          <w:iCs/>
          <w:color w:val="000000" w:themeColor="text1"/>
        </w:rPr>
        <w:t>Ethnicity</w:t>
      </w:r>
    </w:p>
    <w:p w14:paraId="7C461574" w14:textId="1045AAE7" w:rsidR="00680F46" w:rsidRDefault="6C3E1E47" w:rsidP="0D96322D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color w:val="000000" w:themeColor="text1"/>
        </w:rPr>
        <w:t>Complaints were received from tenants of varied backgrounds, including White British, Black British Caribbean, Asian, Mixed, Moroccan, and White South African., with no noticeable trend</w:t>
      </w:r>
      <w:r w:rsidR="005409FD">
        <w:rPr>
          <w:rFonts w:ascii="Calibri" w:eastAsia="Calibri" w:hAnsi="Calibri" w:cs="Calibri"/>
          <w:color w:val="000000" w:themeColor="text1"/>
        </w:rPr>
        <w:t>.</w:t>
      </w:r>
    </w:p>
    <w:p w14:paraId="132656C6" w14:textId="2435E776" w:rsidR="00680F46" w:rsidRDefault="6C3E1E47" w:rsidP="0D96322D">
      <w:pPr>
        <w:spacing w:beforeAutospacing="1" w:afterAutospacing="1" w:line="240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i/>
          <w:iCs/>
          <w:color w:val="000000" w:themeColor="text1"/>
        </w:rPr>
        <w:t>Tenancy type</w:t>
      </w:r>
      <w:r w:rsidRPr="0D96322D">
        <w:rPr>
          <w:rFonts w:ascii="Calibri" w:eastAsia="Calibri" w:hAnsi="Calibri" w:cs="Calibri"/>
          <w:color w:val="000000" w:themeColor="text1"/>
        </w:rPr>
        <w:t>: All complaints were from assured tenants.</w:t>
      </w:r>
    </w:p>
    <w:p w14:paraId="667F4D26" w14:textId="66A3EDCE" w:rsidR="00680F46" w:rsidRDefault="6C3E1E47" w:rsidP="0D96322D">
      <w:pPr>
        <w:spacing w:line="256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b/>
          <w:bCs/>
          <w:color w:val="000000" w:themeColor="text1"/>
        </w:rPr>
        <w:t>Compliments</w:t>
      </w:r>
    </w:p>
    <w:p w14:paraId="17C2B007" w14:textId="7003DE1A" w:rsidR="00680F46" w:rsidRDefault="6C3E1E47" w:rsidP="0D96322D">
      <w:pPr>
        <w:spacing w:line="256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color w:val="000000" w:themeColor="text1"/>
        </w:rPr>
        <w:t>Two compliments were received, recognising staff support and successful repairs (bathroom and windows).</w:t>
      </w:r>
    </w:p>
    <w:p w14:paraId="5B634F05" w14:textId="5FBF0DE1" w:rsidR="00680F46" w:rsidRDefault="6C3E1E47" w:rsidP="0D96322D">
      <w:pPr>
        <w:keepNext/>
        <w:spacing w:line="256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b/>
          <w:bCs/>
          <w:color w:val="000000" w:themeColor="text1"/>
        </w:rPr>
        <w:t>Actions</w:t>
      </w:r>
    </w:p>
    <w:p w14:paraId="61EDE676" w14:textId="5071150A" w:rsidR="00680F46" w:rsidRDefault="6C3E1E47" w:rsidP="0D96322D">
      <w:pPr>
        <w:spacing w:line="256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color w:val="000000" w:themeColor="text1"/>
        </w:rPr>
        <w:t xml:space="preserve">The gas contractor changed ownership which did increase the incidence of contractor failure. There was a new reactive maintenance contractor </w:t>
      </w:r>
      <w:proofErr w:type="gramStart"/>
      <w:r w:rsidRPr="0D96322D">
        <w:rPr>
          <w:rFonts w:ascii="Calibri" w:eastAsia="Calibri" w:hAnsi="Calibri" w:cs="Calibri"/>
          <w:color w:val="000000" w:themeColor="text1"/>
        </w:rPr>
        <w:t>mobilising</w:t>
      </w:r>
      <w:proofErr w:type="gramEnd"/>
      <w:r w:rsidRPr="0D96322D">
        <w:rPr>
          <w:rFonts w:ascii="Calibri" w:eastAsia="Calibri" w:hAnsi="Calibri" w:cs="Calibri"/>
          <w:color w:val="000000" w:themeColor="text1"/>
        </w:rPr>
        <w:t xml:space="preserve"> and some initial problems have since been resolved. </w:t>
      </w:r>
    </w:p>
    <w:p w14:paraId="4CD49543" w14:textId="276C039A" w:rsidR="00680F46" w:rsidRDefault="6C3E1E47" w:rsidP="0D96322D">
      <w:pPr>
        <w:spacing w:line="256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color w:val="000000" w:themeColor="text1"/>
        </w:rPr>
        <w:t xml:space="preserve">WFHA invites tenants to question their service charges each year to ensure they are correct and in some </w:t>
      </w:r>
      <w:proofErr w:type="gramStart"/>
      <w:r w:rsidRPr="0D96322D">
        <w:rPr>
          <w:rFonts w:ascii="Calibri" w:eastAsia="Calibri" w:hAnsi="Calibri" w:cs="Calibri"/>
          <w:color w:val="000000" w:themeColor="text1"/>
        </w:rPr>
        <w:t>cases</w:t>
      </w:r>
      <w:proofErr w:type="gramEnd"/>
      <w:r w:rsidRPr="0D96322D">
        <w:rPr>
          <w:rFonts w:ascii="Calibri" w:eastAsia="Calibri" w:hAnsi="Calibri" w:cs="Calibri"/>
          <w:color w:val="000000" w:themeColor="text1"/>
        </w:rPr>
        <w:t xml:space="preserve"> there was misunderstanding and issues that needed to be explained to some tenants.</w:t>
      </w:r>
    </w:p>
    <w:p w14:paraId="1513C382" w14:textId="3C452C6B" w:rsidR="00680F46" w:rsidRDefault="6C3E1E47" w:rsidP="0D96322D">
      <w:pPr>
        <w:spacing w:line="256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color w:val="000000" w:themeColor="text1"/>
        </w:rPr>
        <w:t>WFHA will continue to scrutinise complaints performance, learn lessons, and improve standards. Focus areas include contractor management, communication, and staff training on complaints and service requests.</w:t>
      </w:r>
    </w:p>
    <w:p w14:paraId="1AF1BBED" w14:textId="77777777" w:rsidR="00A32928" w:rsidRDefault="00A32928" w:rsidP="0D96322D">
      <w:pPr>
        <w:spacing w:line="256" w:lineRule="auto"/>
        <w:rPr>
          <w:rFonts w:ascii="Calibri" w:eastAsia="Calibri" w:hAnsi="Calibri" w:cs="Calibri"/>
          <w:color w:val="000000" w:themeColor="text1"/>
        </w:rPr>
      </w:pPr>
    </w:p>
    <w:p w14:paraId="54E717B5" w14:textId="09DC95D7" w:rsidR="00680F46" w:rsidRDefault="6C3E1E47" w:rsidP="0D96322D">
      <w:pPr>
        <w:spacing w:line="256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b/>
          <w:bCs/>
          <w:color w:val="000000" w:themeColor="text1"/>
        </w:rPr>
        <w:t xml:space="preserve">Member Responsible for Complaints (MRC) </w:t>
      </w:r>
    </w:p>
    <w:p w14:paraId="64AD024D" w14:textId="487665D2" w:rsidR="00680F46" w:rsidRDefault="6C3E1E47" w:rsidP="0D96322D">
      <w:pPr>
        <w:spacing w:line="256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color w:val="000000" w:themeColor="text1"/>
        </w:rPr>
        <w:t>In addition to the Executive lead on complaints, the Director of Housing, the Ombudsman requires a member of the governing body to take the lead in ensuring the Committees and Board are informed about complaints performance and learning. This role is currently held by Tyron Julien.</w:t>
      </w:r>
    </w:p>
    <w:p w14:paraId="0AA70C8D" w14:textId="67D438DB" w:rsidR="00680F46" w:rsidRDefault="6C3E1E47" w:rsidP="0D96322D">
      <w:pPr>
        <w:spacing w:line="256" w:lineRule="auto"/>
        <w:rPr>
          <w:rFonts w:ascii="Calibri" w:eastAsia="Calibri" w:hAnsi="Calibri" w:cs="Calibri"/>
          <w:color w:val="000000" w:themeColor="text1"/>
        </w:rPr>
      </w:pPr>
      <w:r w:rsidRPr="0D96322D">
        <w:rPr>
          <w:rFonts w:ascii="Calibri" w:eastAsia="Calibri" w:hAnsi="Calibri" w:cs="Calibri"/>
          <w:color w:val="000000" w:themeColor="text1"/>
        </w:rPr>
        <w:t>The MRC and Board will continue to receive regular updates on complaints volume, categories, outcomes, and trends, as well as reviews of Ombudsman investigations and compliance.</w:t>
      </w:r>
    </w:p>
    <w:p w14:paraId="5E5787A5" w14:textId="4BDCECA3" w:rsidR="00680F46" w:rsidRDefault="00680F46"/>
    <w:sectPr w:rsidR="00680F4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FC20"/>
    <w:multiLevelType w:val="hybridMultilevel"/>
    <w:tmpl w:val="345861F2"/>
    <w:lvl w:ilvl="0" w:tplc="1E7E2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89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9492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6A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A8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62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49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8A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4E7E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E2BA2"/>
    <w:multiLevelType w:val="hybridMultilevel"/>
    <w:tmpl w:val="258A76A2"/>
    <w:lvl w:ilvl="0" w:tplc="89087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8CFB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F88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2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4F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30A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46A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8F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B20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510587">
    <w:abstractNumId w:val="1"/>
  </w:num>
  <w:num w:numId="2" w16cid:durableId="2078046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542B6A"/>
    <w:rsid w:val="001D5284"/>
    <w:rsid w:val="005409FD"/>
    <w:rsid w:val="0054233A"/>
    <w:rsid w:val="00680F46"/>
    <w:rsid w:val="008E6B81"/>
    <w:rsid w:val="00A32928"/>
    <w:rsid w:val="00ED1F20"/>
    <w:rsid w:val="0D96322D"/>
    <w:rsid w:val="2A3D4858"/>
    <w:rsid w:val="6C3E1E47"/>
    <w:rsid w:val="7E54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96038"/>
  <w15:chartTrackingRefBased/>
  <w15:docId w15:val="{25625D74-DE9B-4FA7-923C-E89E206F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D96322D"/>
    <w:pPr>
      <w:ind w:left="720"/>
      <w:contextualSpacing/>
    </w:pPr>
  </w:style>
  <w:style w:type="paragraph" w:customStyle="1" w:styleId="paragraph">
    <w:name w:val="paragraph"/>
    <w:basedOn w:val="Normal"/>
    <w:rsid w:val="00542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54233A"/>
  </w:style>
  <w:style w:type="character" w:customStyle="1" w:styleId="eop">
    <w:name w:val="eop"/>
    <w:basedOn w:val="DefaultParagraphFont"/>
    <w:rsid w:val="00542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467703-c059-401a-95c9-dad17315f315" xsi:nil="true"/>
    <lcf76f155ced4ddcb4097134ff3c332f xmlns="fd148323-e24e-4beb-ba65-5ed970b11f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7A211A7552C40A850A27749F4DB28" ma:contentTypeVersion="18" ma:contentTypeDescription="Create a new document." ma:contentTypeScope="" ma:versionID="758263151ad122f8a87ddf0c36d91d34">
  <xsd:schema xmlns:xsd="http://www.w3.org/2001/XMLSchema" xmlns:xs="http://www.w3.org/2001/XMLSchema" xmlns:p="http://schemas.microsoft.com/office/2006/metadata/properties" xmlns:ns2="fd148323-e24e-4beb-ba65-5ed970b11fa6" xmlns:ns3="06467703-c059-401a-95c9-dad17315f315" targetNamespace="http://schemas.microsoft.com/office/2006/metadata/properties" ma:root="true" ma:fieldsID="f6cff8e1faeeebacf5de8f4a430a843a" ns2:_="" ns3:_="">
    <xsd:import namespace="fd148323-e24e-4beb-ba65-5ed970b11fa6"/>
    <xsd:import namespace="06467703-c059-401a-95c9-dad17315f3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48323-e24e-4beb-ba65-5ed970b11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80c699a-94c7-4ad0-9971-9264f0ec7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67703-c059-401a-95c9-dad17315f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612290f-0972-4e6f-8788-30ceab0d654b}" ma:internalName="TaxCatchAll" ma:showField="CatchAllData" ma:web="06467703-c059-401a-95c9-dad17315f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75E0F-E1FF-4F68-B743-C9BF31D480E6}">
  <ds:schemaRefs>
    <ds:schemaRef ds:uri="http://schemas.microsoft.com/office/2006/metadata/properties"/>
    <ds:schemaRef ds:uri="http://schemas.microsoft.com/office/infopath/2007/PartnerControls"/>
    <ds:schemaRef ds:uri="06467703-c059-401a-95c9-dad17315f315"/>
    <ds:schemaRef ds:uri="fd148323-e24e-4beb-ba65-5ed970b11fa6"/>
  </ds:schemaRefs>
</ds:datastoreItem>
</file>

<file path=customXml/itemProps2.xml><?xml version="1.0" encoding="utf-8"?>
<ds:datastoreItem xmlns:ds="http://schemas.openxmlformats.org/officeDocument/2006/customXml" ds:itemID="{865ED376-D4B4-47C9-8811-50FF40F7B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B80ED-32F1-4C3F-AA4B-41A9D885D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48323-e24e-4beb-ba65-5ed970b11fa6"/>
    <ds:schemaRef ds:uri="06467703-c059-401a-95c9-dad17315f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2944</Characters>
  <Application>Microsoft Office Word</Application>
  <DocSecurity>0</DocSecurity>
  <Lines>70</Lines>
  <Paragraphs>38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Pughsley</dc:creator>
  <cp:keywords/>
  <dc:description/>
  <cp:lastModifiedBy>Michael Pughsley</cp:lastModifiedBy>
  <cp:revision>5</cp:revision>
  <dcterms:created xsi:type="dcterms:W3CDTF">2026-04-22T09:17:00Z</dcterms:created>
  <dcterms:modified xsi:type="dcterms:W3CDTF">2026-05-05T14:10:00Z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0x0101004437A211A7552C40A850A27749F4DB28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